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BD" w:rsidRDefault="00D927BD" w:rsidP="00AE03C9">
      <w:pPr>
        <w:spacing w:before="120" w:after="120" w:line="240" w:lineRule="auto"/>
        <w:rPr>
          <w:rFonts w:ascii="Times New Roman" w:hAnsi="Times New Roman" w:cs="Times New Roman"/>
          <w:b/>
          <w:sz w:val="32"/>
          <w:szCs w:val="32"/>
        </w:rPr>
      </w:pPr>
      <w:r>
        <w:rPr>
          <w:rFonts w:ascii="Times New Roman" w:hAnsi="Times New Roman" w:cs="Times New Roman"/>
          <w:b/>
          <w:noProof/>
          <w:sz w:val="32"/>
          <w:szCs w:val="32"/>
          <w:lang w:eastAsia="en-GB"/>
        </w:rPr>
        <w:drawing>
          <wp:anchor distT="0" distB="0" distL="114300" distR="114300" simplePos="0" relativeHeight="251658240" behindDoc="0" locked="0" layoutInCell="1" allowOverlap="1">
            <wp:simplePos x="0" y="0"/>
            <wp:positionH relativeFrom="margin">
              <wp:posOffset>62865</wp:posOffset>
            </wp:positionH>
            <wp:positionV relativeFrom="margin">
              <wp:align>top</wp:align>
            </wp:positionV>
            <wp:extent cx="3416300" cy="1612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ark@2x.png"/>
                    <pic:cNvPicPr/>
                  </pic:nvPicPr>
                  <pic:blipFill>
                    <a:blip r:embed="rId8">
                      <a:extLst>
                        <a:ext uri="{28A0092B-C50C-407E-A947-70E740481C1C}">
                          <a14:useLocalDpi xmlns:a14="http://schemas.microsoft.com/office/drawing/2010/main" val="0"/>
                        </a:ext>
                      </a:extLst>
                    </a:blip>
                    <a:stretch>
                      <a:fillRect/>
                    </a:stretch>
                  </pic:blipFill>
                  <pic:spPr>
                    <a:xfrm>
                      <a:off x="0" y="0"/>
                      <a:ext cx="3416300" cy="1612900"/>
                    </a:xfrm>
                    <a:prstGeom prst="rect">
                      <a:avLst/>
                    </a:prstGeom>
                  </pic:spPr>
                </pic:pic>
              </a:graphicData>
            </a:graphic>
            <wp14:sizeRelH relativeFrom="margin">
              <wp14:pctWidth>0</wp14:pctWidth>
            </wp14:sizeRelH>
            <wp14:sizeRelV relativeFrom="margin">
              <wp14:pctHeight>0</wp14:pctHeight>
            </wp14:sizeRelV>
          </wp:anchor>
        </w:drawing>
      </w:r>
    </w:p>
    <w:p w:rsidR="00D927BD" w:rsidRDefault="00D927BD" w:rsidP="00AE03C9">
      <w:pPr>
        <w:spacing w:before="120" w:after="120" w:line="240" w:lineRule="auto"/>
        <w:rPr>
          <w:rFonts w:ascii="Times New Roman" w:hAnsi="Times New Roman" w:cs="Times New Roman"/>
          <w:b/>
          <w:sz w:val="32"/>
          <w:szCs w:val="32"/>
        </w:rPr>
      </w:pPr>
    </w:p>
    <w:p w:rsidR="001E6C08" w:rsidRPr="00D927BD" w:rsidRDefault="001E6C08" w:rsidP="00D927BD">
      <w:pPr>
        <w:spacing w:before="120" w:after="120" w:line="240" w:lineRule="auto"/>
        <w:jc w:val="center"/>
        <w:rPr>
          <w:rFonts w:ascii="Times New Roman" w:hAnsi="Times New Roman" w:cs="Times New Roman"/>
          <w:b/>
          <w:sz w:val="32"/>
          <w:szCs w:val="32"/>
          <w:u w:val="single"/>
        </w:rPr>
      </w:pPr>
      <w:r w:rsidRPr="00D927BD">
        <w:rPr>
          <w:rFonts w:ascii="Times New Roman" w:hAnsi="Times New Roman" w:cs="Times New Roman"/>
          <w:b/>
          <w:sz w:val="32"/>
          <w:szCs w:val="32"/>
          <w:u w:val="single"/>
        </w:rPr>
        <w:t>Lean Business Ireland Awards 2023</w:t>
      </w:r>
    </w:p>
    <w:p w:rsidR="00D927BD" w:rsidRPr="00AE03C9" w:rsidRDefault="00D927BD" w:rsidP="00D927BD">
      <w:pPr>
        <w:spacing w:before="120" w:after="120" w:line="240" w:lineRule="auto"/>
        <w:rPr>
          <w:rFonts w:ascii="Times New Roman" w:hAnsi="Times New Roman" w:cs="Times New Roman"/>
          <w:b/>
          <w:sz w:val="32"/>
          <w:szCs w:val="32"/>
        </w:rPr>
      </w:pPr>
    </w:p>
    <w:tbl>
      <w:tblPr>
        <w:tblStyle w:val="TableGrid"/>
        <w:tblW w:w="15730" w:type="dxa"/>
        <w:tblLook w:val="04A0" w:firstRow="1" w:lastRow="0" w:firstColumn="1" w:lastColumn="0" w:noHBand="0" w:noVBand="1"/>
      </w:tblPr>
      <w:tblGrid>
        <w:gridCol w:w="3256"/>
        <w:gridCol w:w="12474"/>
      </w:tblGrid>
      <w:tr w:rsidR="00AE03C9" w:rsidRPr="00EA3879" w:rsidTr="00EA3879">
        <w:trPr>
          <w:trHeight w:val="567"/>
        </w:trPr>
        <w:tc>
          <w:tcPr>
            <w:tcW w:w="3256" w:type="dxa"/>
            <w:vAlign w:val="center"/>
          </w:tcPr>
          <w:p w:rsidR="00AE03C9" w:rsidRPr="00EA3879" w:rsidRDefault="00AE03C9" w:rsidP="00EA3879">
            <w:pPr>
              <w:rPr>
                <w:b/>
                <w:sz w:val="20"/>
                <w:szCs w:val="20"/>
              </w:rPr>
            </w:pPr>
            <w:r w:rsidRPr="00EA3879">
              <w:rPr>
                <w:b/>
                <w:sz w:val="20"/>
                <w:szCs w:val="20"/>
                <w:u w:val="single"/>
              </w:rPr>
              <w:t>Category</w:t>
            </w:r>
            <w:r w:rsidRPr="00EA3879">
              <w:rPr>
                <w:b/>
                <w:sz w:val="20"/>
                <w:szCs w:val="20"/>
              </w:rPr>
              <w:t>:</w:t>
            </w:r>
          </w:p>
        </w:tc>
        <w:tc>
          <w:tcPr>
            <w:tcW w:w="12474" w:type="dxa"/>
            <w:vAlign w:val="center"/>
          </w:tcPr>
          <w:p w:rsidR="00AE03C9" w:rsidRPr="00EA3879" w:rsidRDefault="00375273" w:rsidP="00EA3879">
            <w:pPr>
              <w:rPr>
                <w:sz w:val="20"/>
                <w:szCs w:val="20"/>
              </w:rPr>
            </w:pPr>
            <w:r>
              <w:rPr>
                <w:i/>
                <w:sz w:val="20"/>
                <w:szCs w:val="20"/>
              </w:rPr>
              <w:t>Service Innovation &amp; Improvement in Public Services</w:t>
            </w:r>
          </w:p>
        </w:tc>
      </w:tr>
      <w:tr w:rsidR="00AE03C9" w:rsidRPr="00EA3879" w:rsidTr="00EA3879">
        <w:trPr>
          <w:trHeight w:val="567"/>
        </w:trPr>
        <w:tc>
          <w:tcPr>
            <w:tcW w:w="3256" w:type="dxa"/>
            <w:vAlign w:val="center"/>
          </w:tcPr>
          <w:p w:rsidR="00AE03C9" w:rsidRPr="00EA3879" w:rsidRDefault="00AE03C9" w:rsidP="00EA3879">
            <w:pPr>
              <w:rPr>
                <w:b/>
                <w:i/>
                <w:sz w:val="20"/>
                <w:szCs w:val="20"/>
              </w:rPr>
            </w:pPr>
            <w:r w:rsidRPr="00EA3879">
              <w:rPr>
                <w:b/>
                <w:sz w:val="20"/>
                <w:szCs w:val="20"/>
                <w:u w:val="single"/>
              </w:rPr>
              <w:t>Entrant Organisation</w:t>
            </w:r>
            <w:r w:rsidRPr="00EA3879">
              <w:rPr>
                <w:b/>
                <w:sz w:val="20"/>
                <w:szCs w:val="20"/>
              </w:rPr>
              <w:t>:</w:t>
            </w:r>
          </w:p>
        </w:tc>
        <w:tc>
          <w:tcPr>
            <w:tcW w:w="12474" w:type="dxa"/>
            <w:vAlign w:val="center"/>
          </w:tcPr>
          <w:p w:rsidR="00AE03C9" w:rsidRPr="00EA3879" w:rsidRDefault="00AE03C9" w:rsidP="00EA3879">
            <w:pPr>
              <w:rPr>
                <w:i/>
                <w:sz w:val="20"/>
                <w:szCs w:val="20"/>
              </w:rPr>
            </w:pPr>
          </w:p>
        </w:tc>
      </w:tr>
      <w:tr w:rsidR="00EA3879" w:rsidRPr="00EA3879" w:rsidTr="00EA3879">
        <w:tc>
          <w:tcPr>
            <w:tcW w:w="3256" w:type="dxa"/>
            <w:vAlign w:val="center"/>
          </w:tcPr>
          <w:p w:rsidR="00EA3879" w:rsidRPr="00EA3879" w:rsidRDefault="00EA3879" w:rsidP="00EA3879">
            <w:pPr>
              <w:rPr>
                <w:b/>
                <w:sz w:val="20"/>
                <w:szCs w:val="20"/>
                <w:u w:val="single"/>
              </w:rPr>
            </w:pPr>
            <w:r w:rsidRPr="00EA3879">
              <w:rPr>
                <w:b/>
                <w:sz w:val="20"/>
                <w:szCs w:val="20"/>
                <w:u w:val="single"/>
              </w:rPr>
              <w:t>Entry Overview (100-150 words):</w:t>
            </w:r>
          </w:p>
        </w:tc>
        <w:tc>
          <w:tcPr>
            <w:tcW w:w="12474" w:type="dxa"/>
            <w:vAlign w:val="center"/>
          </w:tcPr>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p w:rsidR="00EA3879" w:rsidRPr="00EA3879" w:rsidRDefault="00EA3879" w:rsidP="00EA3879">
            <w:pPr>
              <w:rPr>
                <w:sz w:val="20"/>
                <w:szCs w:val="20"/>
              </w:rPr>
            </w:pPr>
          </w:p>
        </w:tc>
      </w:tr>
    </w:tbl>
    <w:p w:rsidR="00EA3879" w:rsidRDefault="00EA3879">
      <w:pPr>
        <w:rPr>
          <w:rFonts w:ascii="Times New Roman" w:hAnsi="Times New Roman" w:cs="Times New Roman"/>
          <w:b/>
          <w:sz w:val="32"/>
          <w:szCs w:val="32"/>
        </w:rPr>
      </w:pPr>
      <w:r>
        <w:rPr>
          <w:rFonts w:ascii="Times New Roman" w:hAnsi="Times New Roman" w:cs="Times New Roman"/>
          <w:b/>
          <w:sz w:val="32"/>
          <w:szCs w:val="32"/>
        </w:rPr>
        <w:br w:type="page"/>
      </w:r>
    </w:p>
    <w:p w:rsidR="00437755" w:rsidRPr="00AE03C9" w:rsidRDefault="00AE03C9" w:rsidP="00AE03C9">
      <w:pPr>
        <w:spacing w:before="120" w:after="12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Entrant </w:t>
      </w:r>
      <w:r w:rsidR="001E6C08" w:rsidRPr="00AE03C9">
        <w:rPr>
          <w:rFonts w:ascii="Times New Roman" w:hAnsi="Times New Roman" w:cs="Times New Roman"/>
          <w:b/>
          <w:sz w:val="32"/>
          <w:szCs w:val="32"/>
        </w:rPr>
        <w:t>Submission</w:t>
      </w:r>
    </w:p>
    <w:tbl>
      <w:tblPr>
        <w:tblStyle w:val="TableGrid"/>
        <w:tblW w:w="15730" w:type="dxa"/>
        <w:tblLook w:val="04A0" w:firstRow="1" w:lastRow="0" w:firstColumn="1" w:lastColumn="0" w:noHBand="0" w:noVBand="1"/>
      </w:tblPr>
      <w:tblGrid>
        <w:gridCol w:w="4248"/>
        <w:gridCol w:w="11482"/>
      </w:tblGrid>
      <w:tr w:rsidR="001E6C08" w:rsidRPr="00BA6743" w:rsidTr="007D7C0C">
        <w:tc>
          <w:tcPr>
            <w:tcW w:w="4248" w:type="dxa"/>
          </w:tcPr>
          <w:p w:rsidR="001E6C08" w:rsidRPr="00BA6743" w:rsidRDefault="001E6C08" w:rsidP="0074564B">
            <w:pPr>
              <w:rPr>
                <w:b/>
                <w:sz w:val="20"/>
                <w:szCs w:val="20"/>
              </w:rPr>
            </w:pPr>
            <w:r w:rsidRPr="00BA6743">
              <w:rPr>
                <w:b/>
                <w:sz w:val="20"/>
                <w:szCs w:val="20"/>
              </w:rPr>
              <w:t>CRITERIA</w:t>
            </w:r>
            <w:r w:rsidR="007D7C0C" w:rsidRPr="00BA6743">
              <w:rPr>
                <w:b/>
                <w:sz w:val="20"/>
                <w:szCs w:val="20"/>
              </w:rPr>
              <w:t xml:space="preserve"> &amp; WEIGHTING</w:t>
            </w:r>
          </w:p>
        </w:tc>
        <w:tc>
          <w:tcPr>
            <w:tcW w:w="11482" w:type="dxa"/>
          </w:tcPr>
          <w:p w:rsidR="001E6C08" w:rsidRPr="00BA6743" w:rsidRDefault="001E6C08" w:rsidP="0074564B">
            <w:pPr>
              <w:rPr>
                <w:b/>
                <w:sz w:val="20"/>
                <w:szCs w:val="20"/>
              </w:rPr>
            </w:pPr>
            <w:r w:rsidRPr="00BA6743">
              <w:rPr>
                <w:b/>
                <w:sz w:val="20"/>
                <w:szCs w:val="20"/>
              </w:rPr>
              <w:t>ENTRANT CONTENT</w:t>
            </w:r>
            <w:r w:rsidR="007D7C0C" w:rsidRPr="00BA6743">
              <w:rPr>
                <w:b/>
                <w:sz w:val="20"/>
                <w:szCs w:val="20"/>
              </w:rPr>
              <w:t xml:space="preserve"> </w:t>
            </w:r>
            <w:r w:rsidR="007D7C0C" w:rsidRPr="00BA6743">
              <w:rPr>
                <w:rFonts w:ascii="Times New Roman" w:hAnsi="Times New Roman" w:cs="Times New Roman"/>
                <w:sz w:val="20"/>
                <w:szCs w:val="20"/>
              </w:rPr>
              <w:t>(entrants should ensure that content is proportional to the respective criteria weighting)</w:t>
            </w:r>
          </w:p>
        </w:tc>
      </w:tr>
      <w:tr w:rsidR="001E6C08" w:rsidRPr="00BA6743" w:rsidTr="007D7C0C">
        <w:tc>
          <w:tcPr>
            <w:tcW w:w="4248" w:type="dxa"/>
          </w:tcPr>
          <w:p w:rsidR="00D86E80" w:rsidRPr="00D86E80" w:rsidRDefault="00D86E80" w:rsidP="00D86E80">
            <w:pPr>
              <w:jc w:val="both"/>
              <w:rPr>
                <w:i/>
                <w:sz w:val="20"/>
                <w:szCs w:val="20"/>
                <w:u w:val="single"/>
              </w:rPr>
            </w:pPr>
            <w:r w:rsidRPr="00D86E80">
              <w:rPr>
                <w:i/>
                <w:sz w:val="20"/>
                <w:szCs w:val="20"/>
                <w:u w:val="single"/>
              </w:rPr>
              <w:t>LEAN STRATEGY DEVELOPMENT &amp; LEADERSHIP (10%</w:t>
            </w:r>
            <w:r>
              <w:rPr>
                <w:i/>
                <w:sz w:val="20"/>
                <w:szCs w:val="20"/>
                <w:u w:val="single"/>
              </w:rPr>
              <w:t>: half-page</w:t>
            </w:r>
            <w:r w:rsidRPr="00D86E80">
              <w:rPr>
                <w:i/>
                <w:sz w:val="20"/>
                <w:szCs w:val="20"/>
                <w:u w:val="single"/>
              </w:rPr>
              <w:t>)</w:t>
            </w:r>
          </w:p>
          <w:p w:rsidR="00375273" w:rsidRPr="00375273" w:rsidRDefault="00375273" w:rsidP="00375273">
            <w:pPr>
              <w:pStyle w:val="ListParagraph"/>
              <w:numPr>
                <w:ilvl w:val="0"/>
                <w:numId w:val="5"/>
              </w:numPr>
              <w:jc w:val="both"/>
              <w:rPr>
                <w:sz w:val="20"/>
                <w:szCs w:val="20"/>
              </w:rPr>
            </w:pPr>
            <w:r w:rsidRPr="00375273">
              <w:rPr>
                <w:sz w:val="20"/>
                <w:szCs w:val="20"/>
              </w:rPr>
              <w:t>Evidence of a strategic organisation-wide</w:t>
            </w:r>
            <w:r>
              <w:rPr>
                <w:sz w:val="20"/>
                <w:szCs w:val="20"/>
              </w:rPr>
              <w:t xml:space="preserve">, or </w:t>
            </w:r>
            <w:r w:rsidRPr="00375273">
              <w:rPr>
                <w:sz w:val="20"/>
                <w:szCs w:val="20"/>
              </w:rPr>
              <w:t>agency-wide</w:t>
            </w:r>
            <w:r>
              <w:rPr>
                <w:sz w:val="20"/>
                <w:szCs w:val="20"/>
              </w:rPr>
              <w:t xml:space="preserve">, or </w:t>
            </w:r>
            <w:r w:rsidRPr="00375273">
              <w:rPr>
                <w:sz w:val="20"/>
                <w:szCs w:val="20"/>
              </w:rPr>
              <w:t>unit-wide</w:t>
            </w:r>
            <w:r>
              <w:rPr>
                <w:sz w:val="20"/>
                <w:szCs w:val="20"/>
              </w:rPr>
              <w:t>,</w:t>
            </w:r>
            <w:r w:rsidRPr="00375273">
              <w:rPr>
                <w:sz w:val="20"/>
                <w:szCs w:val="20"/>
              </w:rPr>
              <w:t xml:space="preserve"> or department-wide approach to service excellence.</w:t>
            </w:r>
          </w:p>
          <w:p w:rsidR="00375273" w:rsidRPr="00375273" w:rsidRDefault="00375273" w:rsidP="00375273">
            <w:pPr>
              <w:pStyle w:val="ListParagraph"/>
              <w:numPr>
                <w:ilvl w:val="0"/>
                <w:numId w:val="5"/>
              </w:numPr>
              <w:jc w:val="both"/>
              <w:rPr>
                <w:sz w:val="20"/>
                <w:szCs w:val="20"/>
              </w:rPr>
            </w:pPr>
            <w:r w:rsidRPr="00375273">
              <w:rPr>
                <w:sz w:val="20"/>
                <w:szCs w:val="20"/>
              </w:rPr>
              <w:t>Evidence of Lean &amp; CI Strategy alignment with recognised global best practices and frameworks.</w:t>
            </w:r>
          </w:p>
          <w:p w:rsidR="00375273" w:rsidRPr="00375273" w:rsidRDefault="00375273" w:rsidP="00375273">
            <w:pPr>
              <w:pStyle w:val="ListParagraph"/>
              <w:numPr>
                <w:ilvl w:val="0"/>
                <w:numId w:val="5"/>
              </w:numPr>
              <w:jc w:val="both"/>
              <w:rPr>
                <w:sz w:val="20"/>
                <w:szCs w:val="20"/>
              </w:rPr>
            </w:pPr>
            <w:r w:rsidRPr="00375273">
              <w:rPr>
                <w:sz w:val="20"/>
                <w:szCs w:val="20"/>
              </w:rPr>
              <w:t>Evidence of strategic alignment of operating systems and KPIs, and of purpose, people, and processes.</w:t>
            </w:r>
          </w:p>
          <w:p w:rsidR="00375273" w:rsidRPr="00375273" w:rsidRDefault="00375273" w:rsidP="00375273">
            <w:pPr>
              <w:pStyle w:val="ListParagraph"/>
              <w:numPr>
                <w:ilvl w:val="0"/>
                <w:numId w:val="5"/>
              </w:numPr>
              <w:jc w:val="both"/>
              <w:rPr>
                <w:sz w:val="20"/>
                <w:szCs w:val="20"/>
              </w:rPr>
            </w:pPr>
            <w:r w:rsidRPr="00375273">
              <w:rPr>
                <w:sz w:val="20"/>
                <w:szCs w:val="20"/>
              </w:rPr>
              <w:t>Evidence of strategic emphasis on formative design and implementation support; and on stakeholder engagement, prioritisation, and analysis, most crucially the Voice of Customer.</w:t>
            </w:r>
          </w:p>
          <w:p w:rsidR="001E6C08" w:rsidRPr="00BA6743" w:rsidRDefault="00375273" w:rsidP="00375273">
            <w:pPr>
              <w:pStyle w:val="ListParagraph"/>
              <w:numPr>
                <w:ilvl w:val="0"/>
                <w:numId w:val="5"/>
              </w:numPr>
              <w:jc w:val="both"/>
              <w:rPr>
                <w:sz w:val="20"/>
                <w:szCs w:val="20"/>
              </w:rPr>
            </w:pPr>
            <w:r w:rsidRPr="00375273">
              <w:rPr>
                <w:sz w:val="20"/>
                <w:szCs w:val="20"/>
              </w:rPr>
              <w:t>Evidence of senior leadership team (SLT) buy-in and support; and vision and mission developed and clearly communicated service-wide/organisation-wide and with all stakeholders.</w:t>
            </w:r>
          </w:p>
        </w:tc>
        <w:tc>
          <w:tcPr>
            <w:tcW w:w="11482" w:type="dxa"/>
          </w:tcPr>
          <w:p w:rsidR="001E6C08" w:rsidRPr="00BA6743" w:rsidRDefault="001E6C08" w:rsidP="007D7C0C">
            <w:pPr>
              <w:jc w:val="both"/>
              <w:rPr>
                <w:sz w:val="20"/>
                <w:szCs w:val="20"/>
              </w:rPr>
            </w:pPr>
          </w:p>
        </w:tc>
      </w:tr>
    </w:tbl>
    <w:p w:rsidR="00EA3879" w:rsidRDefault="00EA3879" w:rsidP="007D7C0C"/>
    <w:p w:rsidR="00EA3879" w:rsidRDefault="00EA3879">
      <w:r>
        <w:br w:type="page"/>
      </w:r>
    </w:p>
    <w:tbl>
      <w:tblPr>
        <w:tblStyle w:val="TableGrid"/>
        <w:tblpPr w:leftFromText="180" w:rightFromText="180" w:vertAnchor="page" w:horzAnchor="margin" w:tblpY="1061"/>
        <w:tblW w:w="15730" w:type="dxa"/>
        <w:tblLook w:val="04A0" w:firstRow="1" w:lastRow="0" w:firstColumn="1" w:lastColumn="0" w:noHBand="0" w:noVBand="1"/>
      </w:tblPr>
      <w:tblGrid>
        <w:gridCol w:w="4248"/>
        <w:gridCol w:w="11482"/>
      </w:tblGrid>
      <w:tr w:rsidR="00BA6743" w:rsidRPr="00BA6743" w:rsidTr="00BA6743">
        <w:tc>
          <w:tcPr>
            <w:tcW w:w="4248" w:type="dxa"/>
          </w:tcPr>
          <w:p w:rsidR="00BA6743" w:rsidRPr="00BA6743" w:rsidRDefault="00BA6743" w:rsidP="00BA6743">
            <w:pPr>
              <w:rPr>
                <w:b/>
                <w:sz w:val="20"/>
                <w:szCs w:val="20"/>
              </w:rPr>
            </w:pPr>
            <w:r w:rsidRPr="00BA6743">
              <w:rPr>
                <w:b/>
                <w:sz w:val="20"/>
                <w:szCs w:val="20"/>
              </w:rPr>
              <w:t>CRITERIA &amp; WEIGHTING</w:t>
            </w:r>
          </w:p>
        </w:tc>
        <w:tc>
          <w:tcPr>
            <w:tcW w:w="11482" w:type="dxa"/>
          </w:tcPr>
          <w:p w:rsidR="00BA6743" w:rsidRPr="00BA6743" w:rsidRDefault="00BA6743" w:rsidP="00BA6743">
            <w:pPr>
              <w:rPr>
                <w:b/>
                <w:sz w:val="20"/>
                <w:szCs w:val="20"/>
              </w:rPr>
            </w:pPr>
            <w:r w:rsidRPr="00BA6743">
              <w:rPr>
                <w:b/>
                <w:sz w:val="20"/>
                <w:szCs w:val="20"/>
              </w:rPr>
              <w:t xml:space="preserve">ENTRANT CONTENT </w:t>
            </w:r>
            <w:r w:rsidRPr="00BA6743">
              <w:rPr>
                <w:rFonts w:ascii="Times New Roman" w:hAnsi="Times New Roman" w:cs="Times New Roman"/>
                <w:sz w:val="20"/>
                <w:szCs w:val="20"/>
              </w:rPr>
              <w:t>(entrants should ensure that content is proportional to the respective criteria weighting)</w:t>
            </w:r>
          </w:p>
        </w:tc>
      </w:tr>
      <w:tr w:rsidR="00BA6743" w:rsidRPr="00BA6743" w:rsidTr="00BA6743">
        <w:tc>
          <w:tcPr>
            <w:tcW w:w="4248" w:type="dxa"/>
          </w:tcPr>
          <w:p w:rsidR="00D86E80" w:rsidRPr="00D86E80" w:rsidRDefault="00D86E80" w:rsidP="00D86E80">
            <w:pPr>
              <w:jc w:val="both"/>
              <w:rPr>
                <w:i/>
                <w:sz w:val="20"/>
                <w:szCs w:val="20"/>
                <w:u w:val="single"/>
              </w:rPr>
            </w:pPr>
            <w:r w:rsidRPr="00D86E80">
              <w:rPr>
                <w:i/>
                <w:sz w:val="20"/>
                <w:szCs w:val="20"/>
                <w:u w:val="single"/>
              </w:rPr>
              <w:t>LEAN STRATEGY DEPLOYMENT (10%</w:t>
            </w:r>
            <w:r>
              <w:rPr>
                <w:i/>
                <w:sz w:val="20"/>
                <w:szCs w:val="20"/>
                <w:u w:val="single"/>
              </w:rPr>
              <w:t>: half-page</w:t>
            </w:r>
            <w:r w:rsidRPr="00D86E80">
              <w:rPr>
                <w:i/>
                <w:sz w:val="20"/>
                <w:szCs w:val="20"/>
                <w:u w:val="single"/>
              </w:rPr>
              <w:t>)</w:t>
            </w:r>
          </w:p>
          <w:p w:rsidR="00375273" w:rsidRPr="00375273" w:rsidRDefault="00375273" w:rsidP="00375273">
            <w:pPr>
              <w:pStyle w:val="ListParagraph"/>
              <w:numPr>
                <w:ilvl w:val="0"/>
                <w:numId w:val="6"/>
              </w:numPr>
              <w:jc w:val="both"/>
              <w:rPr>
                <w:sz w:val="20"/>
                <w:szCs w:val="20"/>
              </w:rPr>
            </w:pPr>
            <w:r w:rsidRPr="00375273">
              <w:rPr>
                <w:sz w:val="20"/>
                <w:szCs w:val="20"/>
              </w:rPr>
              <w:t xml:space="preserve">Evidence of </w:t>
            </w:r>
            <w:proofErr w:type="spellStart"/>
            <w:r w:rsidRPr="00375273">
              <w:rPr>
                <w:sz w:val="20"/>
                <w:szCs w:val="20"/>
              </w:rPr>
              <w:t>Hoshin</w:t>
            </w:r>
            <w:proofErr w:type="spellEnd"/>
            <w:r w:rsidRPr="00375273">
              <w:rPr>
                <w:sz w:val="20"/>
                <w:szCs w:val="20"/>
              </w:rPr>
              <w:t xml:space="preserve"> </w:t>
            </w:r>
            <w:proofErr w:type="spellStart"/>
            <w:r w:rsidRPr="00375273">
              <w:rPr>
                <w:sz w:val="20"/>
                <w:szCs w:val="20"/>
              </w:rPr>
              <w:t>Kanri</w:t>
            </w:r>
            <w:proofErr w:type="spellEnd"/>
            <w:r w:rsidRPr="00375273">
              <w:rPr>
                <w:sz w:val="20"/>
                <w:szCs w:val="20"/>
              </w:rPr>
              <w:t xml:space="preserve"> thinking and practice.</w:t>
            </w:r>
          </w:p>
          <w:p w:rsidR="00375273" w:rsidRPr="00375273" w:rsidRDefault="00375273" w:rsidP="00375273">
            <w:pPr>
              <w:pStyle w:val="ListParagraph"/>
              <w:numPr>
                <w:ilvl w:val="0"/>
                <w:numId w:val="6"/>
              </w:numPr>
              <w:jc w:val="both"/>
              <w:rPr>
                <w:sz w:val="20"/>
                <w:szCs w:val="20"/>
              </w:rPr>
            </w:pPr>
            <w:r w:rsidRPr="00375273">
              <w:rPr>
                <w:sz w:val="20"/>
                <w:szCs w:val="20"/>
              </w:rPr>
              <w:t>Evidence of Customer and Value focus.</w:t>
            </w:r>
          </w:p>
          <w:p w:rsidR="00375273" w:rsidRPr="00375273" w:rsidRDefault="00375273" w:rsidP="00375273">
            <w:pPr>
              <w:pStyle w:val="ListParagraph"/>
              <w:numPr>
                <w:ilvl w:val="0"/>
                <w:numId w:val="6"/>
              </w:numPr>
              <w:jc w:val="both"/>
              <w:rPr>
                <w:sz w:val="20"/>
                <w:szCs w:val="20"/>
              </w:rPr>
            </w:pPr>
            <w:r w:rsidRPr="00375273">
              <w:rPr>
                <w:sz w:val="20"/>
                <w:szCs w:val="20"/>
              </w:rPr>
              <w:t>Evidence of effective Management and CI systems in place with aligned metrics and oriented to advancing and sustaining a culture of service excellence.</w:t>
            </w:r>
          </w:p>
          <w:p w:rsidR="00375273" w:rsidRPr="00375273" w:rsidRDefault="00375273" w:rsidP="00375273">
            <w:pPr>
              <w:pStyle w:val="ListParagraph"/>
              <w:numPr>
                <w:ilvl w:val="0"/>
                <w:numId w:val="6"/>
              </w:numPr>
              <w:jc w:val="both"/>
              <w:rPr>
                <w:sz w:val="20"/>
                <w:szCs w:val="20"/>
              </w:rPr>
            </w:pPr>
            <w:r w:rsidRPr="00375273">
              <w:rPr>
                <w:sz w:val="20"/>
                <w:szCs w:val="20"/>
              </w:rPr>
              <w:t>Evidence of effective People Development systems and Knowledge and Learning systems in place and aligned to the core strategy.</w:t>
            </w:r>
          </w:p>
          <w:p w:rsidR="00375273" w:rsidRPr="00375273" w:rsidRDefault="00375273" w:rsidP="00375273">
            <w:pPr>
              <w:pStyle w:val="ListParagraph"/>
              <w:numPr>
                <w:ilvl w:val="0"/>
                <w:numId w:val="6"/>
              </w:numPr>
              <w:jc w:val="both"/>
              <w:rPr>
                <w:sz w:val="20"/>
                <w:szCs w:val="20"/>
              </w:rPr>
            </w:pPr>
            <w:r w:rsidRPr="00375273">
              <w:rPr>
                <w:sz w:val="20"/>
                <w:szCs w:val="20"/>
              </w:rPr>
              <w:t>Evidence of effective Visual Management systems across the service, along with measurable progress reported across all internal departments/units/levels.</w:t>
            </w:r>
          </w:p>
          <w:p w:rsidR="00375273" w:rsidRPr="00375273" w:rsidRDefault="00375273" w:rsidP="00375273">
            <w:pPr>
              <w:pStyle w:val="ListParagraph"/>
              <w:numPr>
                <w:ilvl w:val="0"/>
                <w:numId w:val="6"/>
              </w:numPr>
              <w:jc w:val="both"/>
              <w:rPr>
                <w:sz w:val="20"/>
                <w:szCs w:val="20"/>
              </w:rPr>
            </w:pPr>
            <w:r w:rsidRPr="00375273">
              <w:rPr>
                <w:sz w:val="20"/>
                <w:szCs w:val="20"/>
              </w:rPr>
              <w:t>Evidence of Leadership systems and Leader Standard Work focused on culture, behaviours, and respect for people and the work.</w:t>
            </w:r>
          </w:p>
          <w:p w:rsidR="00BA6743" w:rsidRPr="00BA6743" w:rsidRDefault="00375273" w:rsidP="00375273">
            <w:pPr>
              <w:pStyle w:val="ListParagraph"/>
              <w:numPr>
                <w:ilvl w:val="0"/>
                <w:numId w:val="6"/>
              </w:numPr>
              <w:jc w:val="both"/>
              <w:rPr>
                <w:sz w:val="20"/>
                <w:szCs w:val="20"/>
              </w:rPr>
            </w:pPr>
            <w:r w:rsidRPr="00375273">
              <w:rPr>
                <w:sz w:val="20"/>
                <w:szCs w:val="20"/>
              </w:rPr>
              <w:t>Evidence of systemic and holistic deployment that is mindful of and positive towards the planet and wider community and society.</w:t>
            </w:r>
          </w:p>
        </w:tc>
        <w:tc>
          <w:tcPr>
            <w:tcW w:w="11482" w:type="dxa"/>
          </w:tcPr>
          <w:p w:rsidR="00BA6743" w:rsidRPr="00BA6743" w:rsidRDefault="00BA6743" w:rsidP="00BA6743">
            <w:pPr>
              <w:jc w:val="both"/>
              <w:rPr>
                <w:sz w:val="20"/>
                <w:szCs w:val="20"/>
              </w:rPr>
            </w:pPr>
          </w:p>
        </w:tc>
      </w:tr>
    </w:tbl>
    <w:p w:rsidR="00EA3879" w:rsidRDefault="00EA3879" w:rsidP="007D7C0C"/>
    <w:p w:rsidR="00EA3879" w:rsidRDefault="00EA3879">
      <w:r>
        <w:br w:type="page"/>
      </w:r>
    </w:p>
    <w:tbl>
      <w:tblPr>
        <w:tblStyle w:val="TableGrid"/>
        <w:tblW w:w="15730" w:type="dxa"/>
        <w:tblLook w:val="04A0" w:firstRow="1" w:lastRow="0" w:firstColumn="1" w:lastColumn="0" w:noHBand="0" w:noVBand="1"/>
      </w:tblPr>
      <w:tblGrid>
        <w:gridCol w:w="4248"/>
        <w:gridCol w:w="11482"/>
      </w:tblGrid>
      <w:tr w:rsidR="00EA3879" w:rsidRPr="00BA6743" w:rsidTr="0074564B">
        <w:tc>
          <w:tcPr>
            <w:tcW w:w="4248" w:type="dxa"/>
          </w:tcPr>
          <w:p w:rsidR="00EA3879" w:rsidRPr="00BA6743" w:rsidRDefault="00EA3879" w:rsidP="0074564B">
            <w:pPr>
              <w:rPr>
                <w:b/>
                <w:sz w:val="20"/>
                <w:szCs w:val="20"/>
              </w:rPr>
            </w:pPr>
            <w:r w:rsidRPr="00BA6743">
              <w:rPr>
                <w:b/>
                <w:sz w:val="20"/>
                <w:szCs w:val="20"/>
              </w:rPr>
              <w:t>CRITERIA &amp; WEIGHTING</w:t>
            </w:r>
          </w:p>
        </w:tc>
        <w:tc>
          <w:tcPr>
            <w:tcW w:w="11482" w:type="dxa"/>
          </w:tcPr>
          <w:p w:rsidR="00EA3879" w:rsidRPr="00BA6743" w:rsidRDefault="00EA3879" w:rsidP="0074564B">
            <w:pPr>
              <w:rPr>
                <w:b/>
                <w:sz w:val="20"/>
                <w:szCs w:val="20"/>
              </w:rPr>
            </w:pPr>
            <w:r w:rsidRPr="00BA6743">
              <w:rPr>
                <w:b/>
                <w:sz w:val="20"/>
                <w:szCs w:val="20"/>
              </w:rPr>
              <w:t xml:space="preserve">ENTRANT CONTENT </w:t>
            </w:r>
            <w:r w:rsidRPr="00BA6743">
              <w:rPr>
                <w:rFonts w:ascii="Times New Roman" w:hAnsi="Times New Roman" w:cs="Times New Roman"/>
                <w:sz w:val="20"/>
                <w:szCs w:val="20"/>
              </w:rPr>
              <w:t>(entrants should ensure that content is proportional to the respective criteria weighting)</w:t>
            </w:r>
          </w:p>
        </w:tc>
      </w:tr>
      <w:tr w:rsidR="00EA3879" w:rsidRPr="00BA6743" w:rsidTr="0074564B">
        <w:tc>
          <w:tcPr>
            <w:tcW w:w="4248" w:type="dxa"/>
          </w:tcPr>
          <w:p w:rsidR="00D86E80" w:rsidRPr="00D86E80" w:rsidRDefault="00D86E80" w:rsidP="00D86E80">
            <w:pPr>
              <w:jc w:val="both"/>
              <w:rPr>
                <w:i/>
                <w:sz w:val="20"/>
                <w:szCs w:val="20"/>
                <w:u w:val="single"/>
              </w:rPr>
            </w:pPr>
            <w:r w:rsidRPr="00D86E80">
              <w:rPr>
                <w:i/>
                <w:sz w:val="20"/>
                <w:szCs w:val="20"/>
                <w:u w:val="single"/>
              </w:rPr>
              <w:t>OPERATIONALISATION &amp; RESULTS (55%</w:t>
            </w:r>
            <w:r>
              <w:rPr>
                <w:i/>
                <w:sz w:val="20"/>
                <w:szCs w:val="20"/>
                <w:u w:val="single"/>
              </w:rPr>
              <w:t>: 2-3 pages</w:t>
            </w:r>
            <w:r w:rsidRPr="00D86E80">
              <w:rPr>
                <w:i/>
                <w:sz w:val="20"/>
                <w:szCs w:val="20"/>
                <w:u w:val="single"/>
              </w:rPr>
              <w:t>)</w:t>
            </w:r>
          </w:p>
          <w:p w:rsidR="00375273" w:rsidRPr="00375273" w:rsidRDefault="00375273" w:rsidP="00375273">
            <w:pPr>
              <w:pStyle w:val="ListParagraph"/>
              <w:numPr>
                <w:ilvl w:val="0"/>
                <w:numId w:val="7"/>
              </w:numPr>
              <w:jc w:val="both"/>
              <w:rPr>
                <w:sz w:val="20"/>
                <w:szCs w:val="20"/>
              </w:rPr>
            </w:pPr>
            <w:r w:rsidRPr="00375273">
              <w:rPr>
                <w:sz w:val="20"/>
                <w:szCs w:val="20"/>
              </w:rPr>
              <w:t>Evidence of a Service Excellence focus; Results-orientation; CI/Kaizen Projects; Scientific Thinking; Measurement, Analysis, and Reporting; Knowledge Management and Learning; and Respect and Recognition systems.</w:t>
            </w:r>
          </w:p>
          <w:p w:rsidR="00375273" w:rsidRPr="00375273" w:rsidRDefault="00375273" w:rsidP="00375273">
            <w:pPr>
              <w:pStyle w:val="ListParagraph"/>
              <w:numPr>
                <w:ilvl w:val="0"/>
                <w:numId w:val="7"/>
              </w:numPr>
              <w:jc w:val="both"/>
              <w:rPr>
                <w:sz w:val="20"/>
                <w:szCs w:val="20"/>
              </w:rPr>
            </w:pPr>
            <w:r w:rsidRPr="00375273">
              <w:rPr>
                <w:sz w:val="20"/>
                <w:szCs w:val="20"/>
              </w:rPr>
              <w:t>Evidence of clearly defined Behavioural Standards linked to the core service operation and performance, as well as overall culture.</w:t>
            </w:r>
          </w:p>
          <w:p w:rsidR="00375273" w:rsidRPr="00375273" w:rsidRDefault="00375273" w:rsidP="00375273">
            <w:pPr>
              <w:pStyle w:val="ListParagraph"/>
              <w:numPr>
                <w:ilvl w:val="0"/>
                <w:numId w:val="7"/>
              </w:numPr>
              <w:jc w:val="both"/>
              <w:rPr>
                <w:sz w:val="20"/>
                <w:szCs w:val="20"/>
              </w:rPr>
            </w:pPr>
            <w:r w:rsidRPr="00375273">
              <w:rPr>
                <w:sz w:val="20"/>
                <w:szCs w:val="20"/>
              </w:rPr>
              <w:t>Evidence of Lean Leadership, Employee Engagement, and Mentoring and Coaching.</w:t>
            </w:r>
          </w:p>
          <w:p w:rsidR="00375273" w:rsidRPr="00375273" w:rsidRDefault="00375273" w:rsidP="00375273">
            <w:pPr>
              <w:pStyle w:val="ListParagraph"/>
              <w:numPr>
                <w:ilvl w:val="0"/>
                <w:numId w:val="7"/>
              </w:numPr>
              <w:jc w:val="both"/>
              <w:rPr>
                <w:sz w:val="20"/>
                <w:szCs w:val="20"/>
              </w:rPr>
            </w:pPr>
            <w:r w:rsidRPr="00375273">
              <w:rPr>
                <w:sz w:val="20"/>
                <w:szCs w:val="20"/>
              </w:rPr>
              <w:t>Evidence of active development of managers, employees at all levels, including support staff, that is relevant to their work and, ideally, driven by their own 'pull' for their ongoing personal and professional development.</w:t>
            </w:r>
          </w:p>
          <w:p w:rsidR="00375273" w:rsidRPr="00375273" w:rsidRDefault="00375273" w:rsidP="00375273">
            <w:pPr>
              <w:pStyle w:val="ListParagraph"/>
              <w:numPr>
                <w:ilvl w:val="0"/>
                <w:numId w:val="7"/>
              </w:numPr>
              <w:jc w:val="both"/>
              <w:rPr>
                <w:sz w:val="20"/>
                <w:szCs w:val="20"/>
              </w:rPr>
            </w:pPr>
            <w:r w:rsidRPr="00375273">
              <w:rPr>
                <w:sz w:val="20"/>
                <w:szCs w:val="20"/>
              </w:rPr>
              <w:t>Evidence of defined time and processes to capture ideas and opportunities for improvement, along with defined systems of work and a constant focus on the simplification of work and standardisation.</w:t>
            </w:r>
          </w:p>
          <w:p w:rsidR="00375273" w:rsidRPr="00375273" w:rsidRDefault="00375273" w:rsidP="00375273">
            <w:pPr>
              <w:pStyle w:val="ListParagraph"/>
              <w:numPr>
                <w:ilvl w:val="0"/>
                <w:numId w:val="7"/>
              </w:numPr>
              <w:jc w:val="both"/>
              <w:rPr>
                <w:sz w:val="20"/>
                <w:szCs w:val="20"/>
              </w:rPr>
            </w:pPr>
            <w:r w:rsidRPr="00375273">
              <w:rPr>
                <w:sz w:val="20"/>
                <w:szCs w:val="20"/>
              </w:rPr>
              <w:t>Evidence of Value Stream analysis.</w:t>
            </w:r>
          </w:p>
          <w:p w:rsidR="00EA3879" w:rsidRPr="00BA6743" w:rsidRDefault="00375273" w:rsidP="00375273">
            <w:pPr>
              <w:pStyle w:val="ListParagraph"/>
              <w:numPr>
                <w:ilvl w:val="0"/>
                <w:numId w:val="7"/>
              </w:numPr>
              <w:jc w:val="both"/>
              <w:rPr>
                <w:sz w:val="20"/>
                <w:szCs w:val="20"/>
              </w:rPr>
            </w:pPr>
            <w:r w:rsidRPr="00375273">
              <w:rPr>
                <w:sz w:val="20"/>
                <w:szCs w:val="20"/>
              </w:rPr>
              <w:t>Evidence of fulfilment on the Customer and Value focus.</w:t>
            </w:r>
          </w:p>
        </w:tc>
        <w:tc>
          <w:tcPr>
            <w:tcW w:w="11482" w:type="dxa"/>
          </w:tcPr>
          <w:p w:rsidR="00EA3879" w:rsidRPr="00BA6743" w:rsidRDefault="00EA3879" w:rsidP="0074564B">
            <w:pPr>
              <w:jc w:val="both"/>
              <w:rPr>
                <w:sz w:val="20"/>
                <w:szCs w:val="20"/>
              </w:rPr>
            </w:pPr>
          </w:p>
        </w:tc>
      </w:tr>
    </w:tbl>
    <w:p w:rsidR="00D86E80" w:rsidRDefault="00D86E80" w:rsidP="007D7C0C"/>
    <w:p w:rsidR="00D86E80" w:rsidRDefault="00D86E80">
      <w:r>
        <w:br w:type="page"/>
      </w:r>
    </w:p>
    <w:tbl>
      <w:tblPr>
        <w:tblStyle w:val="TableGrid"/>
        <w:tblW w:w="15730" w:type="dxa"/>
        <w:tblLook w:val="04A0" w:firstRow="1" w:lastRow="0" w:firstColumn="1" w:lastColumn="0" w:noHBand="0" w:noVBand="1"/>
      </w:tblPr>
      <w:tblGrid>
        <w:gridCol w:w="4248"/>
        <w:gridCol w:w="11482"/>
      </w:tblGrid>
      <w:tr w:rsidR="00D86E80" w:rsidRPr="00BA6743" w:rsidTr="00772A03">
        <w:tc>
          <w:tcPr>
            <w:tcW w:w="4248" w:type="dxa"/>
          </w:tcPr>
          <w:p w:rsidR="00D86E80" w:rsidRPr="00BA6743" w:rsidRDefault="00D86E80" w:rsidP="00772A03">
            <w:pPr>
              <w:rPr>
                <w:b/>
                <w:sz w:val="20"/>
                <w:szCs w:val="20"/>
              </w:rPr>
            </w:pPr>
            <w:r w:rsidRPr="00BA6743">
              <w:rPr>
                <w:b/>
                <w:sz w:val="20"/>
                <w:szCs w:val="20"/>
              </w:rPr>
              <w:t>CRITERIA &amp; WEIGHTING</w:t>
            </w:r>
          </w:p>
        </w:tc>
        <w:tc>
          <w:tcPr>
            <w:tcW w:w="11482" w:type="dxa"/>
          </w:tcPr>
          <w:p w:rsidR="00D86E80" w:rsidRPr="00BA6743" w:rsidRDefault="00D86E80" w:rsidP="00772A03">
            <w:pPr>
              <w:rPr>
                <w:b/>
                <w:sz w:val="20"/>
                <w:szCs w:val="20"/>
              </w:rPr>
            </w:pPr>
            <w:r w:rsidRPr="00BA6743">
              <w:rPr>
                <w:b/>
                <w:sz w:val="20"/>
                <w:szCs w:val="20"/>
              </w:rPr>
              <w:t xml:space="preserve">ENTRANT CONTENT </w:t>
            </w:r>
            <w:r w:rsidRPr="00BA6743">
              <w:rPr>
                <w:rFonts w:ascii="Times New Roman" w:hAnsi="Times New Roman" w:cs="Times New Roman"/>
                <w:sz w:val="20"/>
                <w:szCs w:val="20"/>
              </w:rPr>
              <w:t>(entrants should ensure that content is proportional to the respective criteria weighting)</w:t>
            </w:r>
          </w:p>
        </w:tc>
      </w:tr>
      <w:tr w:rsidR="00D86E80" w:rsidRPr="00BA6743" w:rsidTr="00772A03">
        <w:tc>
          <w:tcPr>
            <w:tcW w:w="4248" w:type="dxa"/>
          </w:tcPr>
          <w:p w:rsidR="00D86E80" w:rsidRPr="00D86E80" w:rsidRDefault="00D86E80" w:rsidP="00D86E80">
            <w:pPr>
              <w:jc w:val="both"/>
              <w:rPr>
                <w:i/>
                <w:sz w:val="20"/>
                <w:szCs w:val="20"/>
                <w:u w:val="single"/>
              </w:rPr>
            </w:pPr>
            <w:r w:rsidRPr="00D86E80">
              <w:rPr>
                <w:i/>
                <w:sz w:val="20"/>
                <w:szCs w:val="20"/>
                <w:u w:val="single"/>
              </w:rPr>
              <w:t>FUTURE PLANNING (25%</w:t>
            </w:r>
            <w:r w:rsidR="00977AB7">
              <w:rPr>
                <w:i/>
                <w:sz w:val="20"/>
                <w:szCs w:val="20"/>
                <w:u w:val="single"/>
              </w:rPr>
              <w:t>: 1-</w:t>
            </w:r>
            <w:bookmarkStart w:id="0" w:name="_GoBack"/>
            <w:bookmarkEnd w:id="0"/>
            <w:r>
              <w:rPr>
                <w:i/>
                <w:sz w:val="20"/>
                <w:szCs w:val="20"/>
                <w:u w:val="single"/>
              </w:rPr>
              <w:t>page</w:t>
            </w:r>
            <w:r w:rsidRPr="00D86E80">
              <w:rPr>
                <w:i/>
                <w:sz w:val="20"/>
                <w:szCs w:val="20"/>
                <w:u w:val="single"/>
              </w:rPr>
              <w:t>)</w:t>
            </w:r>
          </w:p>
          <w:p w:rsidR="00375273" w:rsidRPr="00375273" w:rsidRDefault="00375273" w:rsidP="00375273">
            <w:pPr>
              <w:pStyle w:val="ListParagraph"/>
              <w:numPr>
                <w:ilvl w:val="0"/>
                <w:numId w:val="8"/>
              </w:numPr>
              <w:jc w:val="both"/>
              <w:rPr>
                <w:sz w:val="20"/>
                <w:szCs w:val="20"/>
              </w:rPr>
            </w:pPr>
            <w:r w:rsidRPr="00375273">
              <w:rPr>
                <w:sz w:val="20"/>
                <w:szCs w:val="20"/>
              </w:rPr>
              <w:t>Evidence of a clear and sustainable CI strategy.</w:t>
            </w:r>
          </w:p>
          <w:p w:rsidR="00375273" w:rsidRPr="00375273" w:rsidRDefault="00375273" w:rsidP="00375273">
            <w:pPr>
              <w:pStyle w:val="ListParagraph"/>
              <w:numPr>
                <w:ilvl w:val="0"/>
                <w:numId w:val="8"/>
              </w:numPr>
              <w:jc w:val="both"/>
              <w:rPr>
                <w:sz w:val="20"/>
                <w:szCs w:val="20"/>
              </w:rPr>
            </w:pPr>
            <w:r w:rsidRPr="00375273">
              <w:rPr>
                <w:sz w:val="20"/>
                <w:szCs w:val="20"/>
              </w:rPr>
              <w:t>Evidence of a balanced approach to the Socio and the Technical.</w:t>
            </w:r>
          </w:p>
          <w:p w:rsidR="00375273" w:rsidRPr="00375273" w:rsidRDefault="00375273" w:rsidP="00375273">
            <w:pPr>
              <w:pStyle w:val="ListParagraph"/>
              <w:numPr>
                <w:ilvl w:val="0"/>
                <w:numId w:val="8"/>
              </w:numPr>
              <w:jc w:val="both"/>
              <w:rPr>
                <w:sz w:val="20"/>
                <w:szCs w:val="20"/>
              </w:rPr>
            </w:pPr>
            <w:r w:rsidRPr="00375273">
              <w:rPr>
                <w:sz w:val="20"/>
                <w:szCs w:val="20"/>
              </w:rPr>
              <w:t>Evidence of balanced and systemic integration of next-generation technologies and digitalisation.</w:t>
            </w:r>
          </w:p>
          <w:p w:rsidR="00375273" w:rsidRPr="00375273" w:rsidRDefault="00375273" w:rsidP="00375273">
            <w:pPr>
              <w:pStyle w:val="ListParagraph"/>
              <w:numPr>
                <w:ilvl w:val="0"/>
                <w:numId w:val="8"/>
              </w:numPr>
              <w:jc w:val="both"/>
              <w:rPr>
                <w:sz w:val="20"/>
                <w:szCs w:val="20"/>
              </w:rPr>
            </w:pPr>
            <w:r w:rsidRPr="00375273">
              <w:rPr>
                <w:sz w:val="20"/>
                <w:szCs w:val="20"/>
              </w:rPr>
              <w:t>Evidence of alignment with and fulfilment of ESG/Sustainability/Circular Economy principles and priorities.</w:t>
            </w:r>
          </w:p>
          <w:p w:rsidR="00D86E80" w:rsidRPr="00BA6743" w:rsidRDefault="00375273" w:rsidP="00375273">
            <w:pPr>
              <w:pStyle w:val="ListParagraph"/>
              <w:numPr>
                <w:ilvl w:val="0"/>
                <w:numId w:val="8"/>
              </w:numPr>
              <w:jc w:val="both"/>
              <w:rPr>
                <w:sz w:val="20"/>
                <w:szCs w:val="20"/>
              </w:rPr>
            </w:pPr>
            <w:r w:rsidRPr="00375273">
              <w:rPr>
                <w:sz w:val="20"/>
                <w:szCs w:val="20"/>
              </w:rPr>
              <w:t>Evidence of an ambitious and ongoing capability development and learning organisation strategy.</w:t>
            </w:r>
          </w:p>
        </w:tc>
        <w:tc>
          <w:tcPr>
            <w:tcW w:w="11482" w:type="dxa"/>
          </w:tcPr>
          <w:p w:rsidR="00D86E80" w:rsidRPr="00BA6743" w:rsidRDefault="00D86E80" w:rsidP="00772A03">
            <w:pPr>
              <w:jc w:val="both"/>
              <w:rPr>
                <w:sz w:val="20"/>
                <w:szCs w:val="20"/>
              </w:rPr>
            </w:pPr>
          </w:p>
        </w:tc>
      </w:tr>
    </w:tbl>
    <w:p w:rsidR="00BA6743" w:rsidRDefault="00BA6743" w:rsidP="007D7C0C"/>
    <w:p w:rsidR="00D86E80" w:rsidRDefault="00D86E80" w:rsidP="007D7C0C"/>
    <w:sectPr w:rsidR="00D86E80" w:rsidSect="007D7C0C">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79" w:rsidRDefault="00EA3879" w:rsidP="00EA3879">
      <w:pPr>
        <w:spacing w:after="0" w:line="240" w:lineRule="auto"/>
      </w:pPr>
      <w:r>
        <w:separator/>
      </w:r>
    </w:p>
  </w:endnote>
  <w:endnote w:type="continuationSeparator" w:id="0">
    <w:p w:rsidR="00EA3879" w:rsidRDefault="00EA3879" w:rsidP="00EA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2924137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EA3879" w:rsidRPr="00EA3879" w:rsidRDefault="00EA3879" w:rsidP="00EA3879">
            <w:pPr>
              <w:pStyle w:val="Footer"/>
              <w:jc w:val="right"/>
              <w:rPr>
                <w:rFonts w:ascii="Times New Roman" w:hAnsi="Times New Roman" w:cs="Times New Roman"/>
                <w:sz w:val="20"/>
                <w:szCs w:val="20"/>
              </w:rPr>
            </w:pPr>
            <w:r w:rsidRPr="00EA3879">
              <w:rPr>
                <w:rFonts w:ascii="Times New Roman" w:hAnsi="Times New Roman" w:cs="Times New Roman"/>
                <w:sz w:val="20"/>
                <w:szCs w:val="20"/>
              </w:rPr>
              <w:t xml:space="preserve">Page </w:t>
            </w:r>
            <w:r w:rsidRPr="00EA3879">
              <w:rPr>
                <w:rFonts w:ascii="Times New Roman" w:hAnsi="Times New Roman" w:cs="Times New Roman"/>
                <w:b/>
                <w:bCs/>
                <w:sz w:val="20"/>
                <w:szCs w:val="20"/>
              </w:rPr>
              <w:fldChar w:fldCharType="begin"/>
            </w:r>
            <w:r w:rsidRPr="00EA3879">
              <w:rPr>
                <w:rFonts w:ascii="Times New Roman" w:hAnsi="Times New Roman" w:cs="Times New Roman"/>
                <w:b/>
                <w:bCs/>
                <w:sz w:val="20"/>
                <w:szCs w:val="20"/>
              </w:rPr>
              <w:instrText xml:space="preserve"> PAGE </w:instrText>
            </w:r>
            <w:r w:rsidRPr="00EA3879">
              <w:rPr>
                <w:rFonts w:ascii="Times New Roman" w:hAnsi="Times New Roman" w:cs="Times New Roman"/>
                <w:b/>
                <w:bCs/>
                <w:sz w:val="20"/>
                <w:szCs w:val="20"/>
              </w:rPr>
              <w:fldChar w:fldCharType="separate"/>
            </w:r>
            <w:r w:rsidR="00977AB7">
              <w:rPr>
                <w:rFonts w:ascii="Times New Roman" w:hAnsi="Times New Roman" w:cs="Times New Roman"/>
                <w:b/>
                <w:bCs/>
                <w:noProof/>
                <w:sz w:val="20"/>
                <w:szCs w:val="20"/>
              </w:rPr>
              <w:t>4</w:t>
            </w:r>
            <w:r w:rsidRPr="00EA3879">
              <w:rPr>
                <w:rFonts w:ascii="Times New Roman" w:hAnsi="Times New Roman" w:cs="Times New Roman"/>
                <w:b/>
                <w:bCs/>
                <w:sz w:val="20"/>
                <w:szCs w:val="20"/>
              </w:rPr>
              <w:fldChar w:fldCharType="end"/>
            </w:r>
            <w:r w:rsidRPr="00EA3879">
              <w:rPr>
                <w:rFonts w:ascii="Times New Roman" w:hAnsi="Times New Roman" w:cs="Times New Roman"/>
                <w:sz w:val="20"/>
                <w:szCs w:val="20"/>
              </w:rPr>
              <w:t xml:space="preserve"> of </w:t>
            </w:r>
            <w:r w:rsidRPr="00EA3879">
              <w:rPr>
                <w:rFonts w:ascii="Times New Roman" w:hAnsi="Times New Roman" w:cs="Times New Roman"/>
                <w:b/>
                <w:bCs/>
                <w:sz w:val="20"/>
                <w:szCs w:val="20"/>
              </w:rPr>
              <w:fldChar w:fldCharType="begin"/>
            </w:r>
            <w:r w:rsidRPr="00EA3879">
              <w:rPr>
                <w:rFonts w:ascii="Times New Roman" w:hAnsi="Times New Roman" w:cs="Times New Roman"/>
                <w:b/>
                <w:bCs/>
                <w:sz w:val="20"/>
                <w:szCs w:val="20"/>
              </w:rPr>
              <w:instrText xml:space="preserve"> NUMPAGES  </w:instrText>
            </w:r>
            <w:r w:rsidRPr="00EA3879">
              <w:rPr>
                <w:rFonts w:ascii="Times New Roman" w:hAnsi="Times New Roman" w:cs="Times New Roman"/>
                <w:b/>
                <w:bCs/>
                <w:sz w:val="20"/>
                <w:szCs w:val="20"/>
              </w:rPr>
              <w:fldChar w:fldCharType="separate"/>
            </w:r>
            <w:r w:rsidR="00977AB7">
              <w:rPr>
                <w:rFonts w:ascii="Times New Roman" w:hAnsi="Times New Roman" w:cs="Times New Roman"/>
                <w:b/>
                <w:bCs/>
                <w:noProof/>
                <w:sz w:val="20"/>
                <w:szCs w:val="20"/>
              </w:rPr>
              <w:t>5</w:t>
            </w:r>
            <w:r w:rsidRPr="00EA3879">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79" w:rsidRDefault="00EA3879" w:rsidP="00EA3879">
      <w:pPr>
        <w:spacing w:after="0" w:line="240" w:lineRule="auto"/>
      </w:pPr>
      <w:r>
        <w:separator/>
      </w:r>
    </w:p>
  </w:footnote>
  <w:footnote w:type="continuationSeparator" w:id="0">
    <w:p w:rsidR="00EA3879" w:rsidRDefault="00EA3879" w:rsidP="00EA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79" w:rsidRDefault="00EA3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AC2"/>
    <w:multiLevelType w:val="hybridMultilevel"/>
    <w:tmpl w:val="6C6C098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E5B6F"/>
    <w:multiLevelType w:val="hybridMultilevel"/>
    <w:tmpl w:val="174645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1C8A"/>
    <w:multiLevelType w:val="hybridMultilevel"/>
    <w:tmpl w:val="2742795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C444F"/>
    <w:multiLevelType w:val="hybridMultilevel"/>
    <w:tmpl w:val="B796907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37B80"/>
    <w:multiLevelType w:val="hybridMultilevel"/>
    <w:tmpl w:val="78A848A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D0366"/>
    <w:multiLevelType w:val="hybridMultilevel"/>
    <w:tmpl w:val="058415F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F6541"/>
    <w:multiLevelType w:val="hybridMultilevel"/>
    <w:tmpl w:val="96863D4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83EA1"/>
    <w:multiLevelType w:val="hybridMultilevel"/>
    <w:tmpl w:val="AE8CC6AC"/>
    <w:lvl w:ilvl="0" w:tplc="08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55"/>
    <w:rsid w:val="001E6C08"/>
    <w:rsid w:val="002246AF"/>
    <w:rsid w:val="00375273"/>
    <w:rsid w:val="00437755"/>
    <w:rsid w:val="007A0ADB"/>
    <w:rsid w:val="007D7C0C"/>
    <w:rsid w:val="00977AB7"/>
    <w:rsid w:val="00AE03C9"/>
    <w:rsid w:val="00BA6743"/>
    <w:rsid w:val="00C20AFA"/>
    <w:rsid w:val="00D23E74"/>
    <w:rsid w:val="00D86E80"/>
    <w:rsid w:val="00D927BD"/>
    <w:rsid w:val="00EA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9F008"/>
  <w15:chartTrackingRefBased/>
  <w15:docId w15:val="{17CB52B5-ED7C-4B16-8F4A-C4E6B581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C0C"/>
    <w:pPr>
      <w:ind w:left="720"/>
      <w:contextualSpacing/>
    </w:pPr>
  </w:style>
  <w:style w:type="paragraph" w:styleId="Header">
    <w:name w:val="header"/>
    <w:basedOn w:val="Normal"/>
    <w:link w:val="HeaderChar"/>
    <w:uiPriority w:val="99"/>
    <w:unhideWhenUsed/>
    <w:rsid w:val="00EA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879"/>
  </w:style>
  <w:style w:type="paragraph" w:styleId="Footer">
    <w:name w:val="footer"/>
    <w:basedOn w:val="Normal"/>
    <w:link w:val="FooterChar"/>
    <w:uiPriority w:val="99"/>
    <w:unhideWhenUsed/>
    <w:rsid w:val="00EA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BC8E-50B4-4D83-AEA6-239B289B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Taylor</dc:creator>
  <cp:keywords/>
  <dc:description/>
  <cp:lastModifiedBy>Darrin Taylor</cp:lastModifiedBy>
  <cp:revision>9</cp:revision>
  <dcterms:created xsi:type="dcterms:W3CDTF">2023-05-08T12:01:00Z</dcterms:created>
  <dcterms:modified xsi:type="dcterms:W3CDTF">2023-05-08T14:13:00Z</dcterms:modified>
</cp:coreProperties>
</file>